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PROMUEVE ANA PATY PERALTA USO DE PRESCRIPCIÓN DEL PREDIAL PARA REGULARIZAR ADEUDOS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⁠Por ley, únicamente se cobran los últimos cinco años en ese concepto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Cancún, Q. R., a 05 de abril de 2026.-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La Presidenta Municipal, Ana Paty Peralta, invitó a las y los ciudadanos a aprovechar la prescripción marcada por la ley para regularizar su adeudo del impuesto predial, que les permite poner al día su patrimonio y documentación, además de beneficiar su economía familiar.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“¿Qué podemos hacer en el caso de que tengan un adeudo muy grande de predial? Está por ley la prescripción, ¿qué significa? Que se borra todo lo que deben y solamente se pagan los últimos cinco años”, indicó.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Explicó que, por ejemplo, se han tenido casos exitosos donde el monto de adeudo oscilaba en 200 mil pesos y con este mecanismo, el pago únicamente queda en ocho mil pesos, por lo que la gente se va emocionada al tener la oportunidad para regularizarse.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“Como yo se los digo: el resultado de esto es porque tú te acercaste, tú confiaste y viniste con tu documentación. Ahora, es muy importante que se sepa que el trámite es personal, no puede ir nadie en representación, ningún gestor, ni mucho menos y para acreditar la propiedad tienen que llevar su escritura y toda su documentación”, aseguró.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Ana Paty Peralta exhortó a los habitantes a que acudan a la Dirección de Ingresos  o a las jornadas itinerantes semanales del programa “Día del Pueblo. Cancún nos une por la transformación”, ya sea en el Palacio Municipal o en algún domo en diferentes puntos de la ciudad, en donde también se instala un módulo de atención de dicha dependencia para que los orienten sobre el procedimiento y el monto a liquidar, lo que dependerá del valor catastral del predio. 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************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COMPLEMENTO INFORMATIVO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CONTEXTO: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Las deudas de impuesto predial en México prescriben generalmente en 5 años a partir de la fecha en que el crédito fue exigible, de acuerdo con el artículo 146 del Código Fiscal de la Federación.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2146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9esrIlR0Btp6xh6dJpJFrgWZw==">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